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38C421">
      <w:pPr>
        <w:spacing w:line="600" w:lineRule="exact"/>
        <w:jc w:val="center"/>
        <w:rPr>
          <w:rFonts w:hint="eastAsia" w:ascii="仿宋_GB2312" w:eastAsia="仿宋_GB2312"/>
          <w:b/>
          <w:bCs/>
          <w:sz w:val="40"/>
          <w:szCs w:val="40"/>
        </w:rPr>
      </w:pPr>
      <w:r>
        <w:rPr>
          <w:rFonts w:hint="eastAsia" w:ascii="仿宋_GB2312" w:eastAsia="仿宋_GB2312"/>
          <w:b/>
          <w:bCs/>
          <w:sz w:val="40"/>
          <w:szCs w:val="40"/>
          <w:lang w:val="en-US" w:eastAsia="zh-CN"/>
        </w:rPr>
        <w:t>清单</w:t>
      </w:r>
      <w:r>
        <w:rPr>
          <w:rFonts w:hint="eastAsia" w:ascii="仿宋_GB2312" w:eastAsia="仿宋_GB2312"/>
          <w:b/>
          <w:bCs/>
          <w:sz w:val="40"/>
          <w:szCs w:val="40"/>
        </w:rPr>
        <w:t>编制说明</w:t>
      </w:r>
    </w:p>
    <w:p w14:paraId="170BEAF0">
      <w:pPr>
        <w:keepNext w:val="0"/>
        <w:keepLines w:val="0"/>
        <w:pageBreakBefore w:val="0"/>
        <w:widowControl w:val="0"/>
        <w:kinsoku/>
        <w:wordWrap/>
        <w:overflowPunct/>
        <w:topLinePunct w:val="0"/>
        <w:autoSpaceDE/>
        <w:autoSpaceDN/>
        <w:bidi w:val="0"/>
        <w:adjustRightInd/>
        <w:snapToGrid/>
        <w:spacing w:line="360" w:lineRule="auto"/>
        <w:ind w:left="0" w:firstLine="0" w:firstLineChars="0"/>
        <w:jc w:val="left"/>
        <w:textAlignment w:val="auto"/>
        <w:rPr>
          <w:rFonts w:hint="eastAsia" w:ascii="宋体" w:hAnsi="宋体" w:eastAsia="宋体" w:cs="宋体"/>
          <w:bCs/>
          <w:sz w:val="21"/>
          <w:szCs w:val="21"/>
        </w:rPr>
      </w:pPr>
      <w:r>
        <w:rPr>
          <w:rFonts w:hint="eastAsia" w:ascii="宋体" w:hAnsi="宋体" w:eastAsia="宋体" w:cs="宋体"/>
          <w:bCs/>
          <w:sz w:val="21"/>
          <w:szCs w:val="21"/>
        </w:rPr>
        <w:t>工程名称：</w:t>
      </w:r>
      <w:r>
        <w:rPr>
          <w:rFonts w:hint="eastAsia" w:ascii="宋体" w:hAnsi="宋体" w:eastAsia="宋体" w:cs="宋体"/>
          <w:szCs w:val="21"/>
          <w:highlight w:val="none"/>
          <w:lang w:val="en-US" w:eastAsia="zh-CN"/>
        </w:rPr>
        <w:t>老洲中心小学运动场翻新改造工程</w:t>
      </w:r>
    </w:p>
    <w:tbl>
      <w:tblPr>
        <w:tblStyle w:val="8"/>
        <w:tblW w:w="9900" w:type="dxa"/>
        <w:tblInd w:w="-4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00"/>
      </w:tblGrid>
      <w:tr w14:paraId="0CF9A7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trPr>
        <w:tc>
          <w:tcPr>
            <w:tcW w:w="9900" w:type="dxa"/>
            <w:noWrap w:val="0"/>
            <w:vAlign w:val="top"/>
          </w:tcPr>
          <w:p w14:paraId="6F514757">
            <w:pPr>
              <w:keepNext w:val="0"/>
              <w:keepLines w:val="0"/>
              <w:pageBreakBefore w:val="0"/>
              <w:widowControl w:val="0"/>
              <w:kinsoku/>
              <w:wordWrap/>
              <w:overflowPunct/>
              <w:topLinePunct w:val="0"/>
              <w:autoSpaceDE/>
              <w:autoSpaceDN/>
              <w:bidi w:val="0"/>
              <w:adjustRightInd/>
              <w:snapToGrid/>
              <w:spacing w:line="336" w:lineRule="auto"/>
              <w:ind w:left="0" w:firstLine="0" w:firstLineChars="0"/>
              <w:jc w:val="left"/>
              <w:textAlignment w:val="auto"/>
              <w:rPr>
                <w:rFonts w:hint="eastAsia" w:ascii="宋体" w:hAnsi="宋体" w:eastAsia="宋体" w:cs="宋体"/>
                <w:szCs w:val="21"/>
                <w:highlight w:val="none"/>
                <w:lang w:val="en-US" w:eastAsia="zh-CN"/>
              </w:rPr>
            </w:pPr>
            <w:r>
              <w:rPr>
                <w:rFonts w:hint="eastAsia" w:ascii="宋体" w:hAnsi="宋体" w:eastAsia="宋体" w:cs="宋体"/>
                <w:szCs w:val="21"/>
                <w:highlight w:val="none"/>
                <w:lang w:val="en-US" w:eastAsia="zh-CN"/>
              </w:rPr>
              <w:t>一、工程概况</w:t>
            </w:r>
          </w:p>
          <w:p w14:paraId="737E97A4">
            <w:pPr>
              <w:keepNext w:val="0"/>
              <w:keepLines w:val="0"/>
              <w:pageBreakBefore w:val="0"/>
              <w:widowControl w:val="0"/>
              <w:kinsoku/>
              <w:wordWrap/>
              <w:overflowPunct/>
              <w:topLinePunct w:val="0"/>
              <w:autoSpaceDE/>
              <w:autoSpaceDN/>
              <w:bidi w:val="0"/>
              <w:adjustRightInd/>
              <w:snapToGrid/>
              <w:spacing w:line="336" w:lineRule="auto"/>
              <w:ind w:left="0" w:firstLine="0" w:firstLineChars="0"/>
              <w:jc w:val="left"/>
              <w:textAlignment w:val="auto"/>
              <w:rPr>
                <w:rFonts w:hint="eastAsia" w:ascii="宋体" w:hAnsi="宋体" w:eastAsia="宋体" w:cs="宋体"/>
                <w:szCs w:val="21"/>
                <w:highlight w:val="none"/>
                <w:lang w:val="en-US" w:eastAsia="zh-CN"/>
              </w:rPr>
            </w:pPr>
            <w:r>
              <w:rPr>
                <w:rFonts w:hint="eastAsia" w:ascii="宋体" w:hAnsi="宋体" w:eastAsia="宋体" w:cs="宋体"/>
                <w:szCs w:val="21"/>
                <w:highlight w:val="none"/>
                <w:lang w:val="en-US" w:eastAsia="zh-CN"/>
              </w:rPr>
              <w:t>工程名称：老洲中心小学运动场翻新改造工程</w:t>
            </w:r>
          </w:p>
          <w:p w14:paraId="141F8831">
            <w:pPr>
              <w:keepNext w:val="0"/>
              <w:keepLines w:val="0"/>
              <w:pageBreakBefore w:val="0"/>
              <w:widowControl w:val="0"/>
              <w:kinsoku/>
              <w:wordWrap/>
              <w:overflowPunct/>
              <w:topLinePunct w:val="0"/>
              <w:autoSpaceDE/>
              <w:autoSpaceDN/>
              <w:bidi w:val="0"/>
              <w:adjustRightInd/>
              <w:snapToGrid/>
              <w:spacing w:line="336" w:lineRule="auto"/>
              <w:ind w:left="0" w:firstLine="0" w:firstLineChars="0"/>
              <w:jc w:val="left"/>
              <w:textAlignment w:val="auto"/>
              <w:rPr>
                <w:rFonts w:hint="eastAsia" w:ascii="宋体" w:hAnsi="宋体" w:eastAsia="宋体" w:cs="宋体"/>
                <w:szCs w:val="21"/>
                <w:highlight w:val="none"/>
                <w:lang w:val="en-US" w:eastAsia="zh-CN"/>
              </w:rPr>
            </w:pPr>
            <w:r>
              <w:rPr>
                <w:rFonts w:hint="eastAsia" w:ascii="宋体" w:hAnsi="宋体" w:eastAsia="宋体" w:cs="宋体"/>
                <w:szCs w:val="21"/>
                <w:highlight w:val="none"/>
                <w:lang w:val="en-US" w:eastAsia="zh-CN"/>
              </w:rPr>
              <w:t>工程地点：老洲中心小学</w:t>
            </w:r>
          </w:p>
          <w:p w14:paraId="39DD8C86">
            <w:pPr>
              <w:keepNext w:val="0"/>
              <w:keepLines w:val="0"/>
              <w:pageBreakBefore w:val="0"/>
              <w:widowControl w:val="0"/>
              <w:kinsoku/>
              <w:wordWrap/>
              <w:overflowPunct/>
              <w:topLinePunct w:val="0"/>
              <w:autoSpaceDE/>
              <w:autoSpaceDN/>
              <w:bidi w:val="0"/>
              <w:adjustRightInd/>
              <w:snapToGrid/>
              <w:spacing w:line="336" w:lineRule="auto"/>
              <w:ind w:left="0" w:firstLine="0" w:firstLineChars="0"/>
              <w:jc w:val="left"/>
              <w:textAlignment w:val="auto"/>
              <w:rPr>
                <w:rFonts w:hint="eastAsia" w:ascii="宋体" w:hAnsi="宋体" w:eastAsia="宋体" w:cs="宋体"/>
                <w:szCs w:val="21"/>
                <w:highlight w:val="none"/>
                <w:lang w:val="en-US" w:eastAsia="zh-CN"/>
              </w:rPr>
            </w:pPr>
            <w:r>
              <w:rPr>
                <w:rFonts w:hint="eastAsia" w:ascii="宋体" w:hAnsi="宋体" w:eastAsia="宋体" w:cs="宋体"/>
                <w:szCs w:val="21"/>
                <w:highlight w:val="none"/>
                <w:lang w:val="en-US" w:eastAsia="zh-CN"/>
              </w:rPr>
              <w:t>二、编制范围</w:t>
            </w:r>
          </w:p>
          <w:p w14:paraId="6BFF74EC">
            <w:pPr>
              <w:keepNext w:val="0"/>
              <w:keepLines w:val="0"/>
              <w:pageBreakBefore w:val="0"/>
              <w:widowControl w:val="0"/>
              <w:kinsoku/>
              <w:wordWrap/>
              <w:overflowPunct/>
              <w:topLinePunct w:val="0"/>
              <w:autoSpaceDE/>
              <w:autoSpaceDN/>
              <w:bidi w:val="0"/>
              <w:adjustRightInd/>
              <w:snapToGrid/>
              <w:spacing w:line="336" w:lineRule="auto"/>
              <w:ind w:left="0" w:firstLine="0" w:firstLineChars="0"/>
              <w:jc w:val="left"/>
              <w:textAlignment w:val="auto"/>
              <w:rPr>
                <w:rFonts w:hint="eastAsia" w:ascii="宋体" w:hAnsi="宋体" w:eastAsia="宋体" w:cs="宋体"/>
                <w:szCs w:val="21"/>
                <w:highlight w:val="none"/>
                <w:lang w:val="en-US" w:eastAsia="zh-CN"/>
              </w:rPr>
            </w:pPr>
            <w:r>
              <w:rPr>
                <w:rFonts w:hint="eastAsia" w:ascii="宋体" w:hAnsi="宋体" w:eastAsia="宋体" w:cs="宋体"/>
                <w:szCs w:val="21"/>
                <w:highlight w:val="none"/>
                <w:lang w:val="en-US" w:eastAsia="zh-CN"/>
              </w:rPr>
              <w:t>1、塑胶跑道铲除、更换；</w:t>
            </w:r>
          </w:p>
          <w:p w14:paraId="653DA5A4">
            <w:pPr>
              <w:keepNext w:val="0"/>
              <w:keepLines w:val="0"/>
              <w:pageBreakBefore w:val="0"/>
              <w:widowControl w:val="0"/>
              <w:kinsoku/>
              <w:wordWrap/>
              <w:overflowPunct/>
              <w:topLinePunct w:val="0"/>
              <w:autoSpaceDE/>
              <w:autoSpaceDN/>
              <w:bidi w:val="0"/>
              <w:adjustRightInd/>
              <w:snapToGrid/>
              <w:spacing w:line="336" w:lineRule="auto"/>
              <w:ind w:left="0" w:firstLine="0" w:firstLineChars="0"/>
              <w:jc w:val="left"/>
              <w:textAlignment w:val="auto"/>
              <w:rPr>
                <w:rFonts w:hint="eastAsia" w:ascii="宋体" w:hAnsi="宋体" w:eastAsia="宋体" w:cs="宋体"/>
                <w:szCs w:val="21"/>
                <w:highlight w:val="none"/>
              </w:rPr>
            </w:pPr>
            <w:r>
              <w:rPr>
                <w:rFonts w:hint="eastAsia" w:ascii="宋体" w:hAnsi="宋体" w:eastAsia="宋体" w:cs="宋体"/>
                <w:szCs w:val="21"/>
                <w:highlight w:val="none"/>
              </w:rPr>
              <w:t>三、编制依据</w:t>
            </w:r>
          </w:p>
          <w:p w14:paraId="31F029E9">
            <w:pPr>
              <w:keepNext w:val="0"/>
              <w:keepLines w:val="0"/>
              <w:pageBreakBefore w:val="0"/>
              <w:widowControl w:val="0"/>
              <w:kinsoku/>
              <w:wordWrap/>
              <w:overflowPunct/>
              <w:topLinePunct w:val="0"/>
              <w:autoSpaceDE/>
              <w:autoSpaceDN/>
              <w:bidi w:val="0"/>
              <w:adjustRightInd/>
              <w:snapToGrid/>
              <w:spacing w:line="336" w:lineRule="auto"/>
              <w:ind w:left="0" w:firstLine="0" w:firstLineChars="0"/>
              <w:jc w:val="left"/>
              <w:textAlignment w:val="auto"/>
              <w:rPr>
                <w:rFonts w:hint="eastAsia" w:ascii="宋体" w:hAnsi="宋体" w:cs="宋体"/>
                <w:szCs w:val="21"/>
                <w:highlight w:val="none"/>
                <w:lang w:val="en-US" w:eastAsia="zh-CN"/>
              </w:rPr>
            </w:pPr>
            <w:r>
              <w:rPr>
                <w:rFonts w:hint="eastAsia" w:ascii="宋体" w:hAnsi="宋体" w:cs="宋体"/>
                <w:szCs w:val="21"/>
                <w:highlight w:val="none"/>
                <w:lang w:val="en-US" w:eastAsia="zh-CN"/>
              </w:rPr>
              <w:t>1、建设单位提供的工程量清单、工程量与做法确认表及相关要求。</w:t>
            </w:r>
          </w:p>
          <w:p w14:paraId="0E2B089A">
            <w:pPr>
              <w:keepNext w:val="0"/>
              <w:keepLines w:val="0"/>
              <w:pageBreakBefore w:val="0"/>
              <w:widowControl w:val="0"/>
              <w:kinsoku/>
              <w:wordWrap/>
              <w:overflowPunct/>
              <w:topLinePunct w:val="0"/>
              <w:autoSpaceDE/>
              <w:autoSpaceDN/>
              <w:bidi w:val="0"/>
              <w:adjustRightInd/>
              <w:snapToGrid/>
              <w:spacing w:line="336" w:lineRule="auto"/>
              <w:ind w:left="0" w:firstLine="0" w:firstLineChars="0"/>
              <w:jc w:val="left"/>
              <w:textAlignment w:val="auto"/>
              <w:rPr>
                <w:rFonts w:hint="default" w:ascii="宋体" w:hAnsi="宋体" w:cs="宋体"/>
                <w:szCs w:val="21"/>
                <w:highlight w:val="none"/>
                <w:lang w:val="en-US" w:eastAsia="zh-CN"/>
              </w:rPr>
            </w:pPr>
            <w:r>
              <w:rPr>
                <w:rFonts w:hint="eastAsia" w:ascii="宋体" w:hAnsi="宋体" w:cs="宋体"/>
                <w:szCs w:val="21"/>
                <w:highlight w:val="none"/>
                <w:lang w:val="en-US" w:eastAsia="zh-CN"/>
              </w:rPr>
              <w:t>2、2018版安徽省建设工程计价依据与安徽省住房和城乡建设厅公告第51号《安徽省建设工程计价依据动态调整（第2期）》。</w:t>
            </w:r>
            <w:bookmarkStart w:id="0" w:name="_GoBack"/>
            <w:bookmarkEnd w:id="0"/>
          </w:p>
          <w:p w14:paraId="7C9DD4A3">
            <w:pPr>
              <w:keepNext w:val="0"/>
              <w:keepLines w:val="0"/>
              <w:pageBreakBefore w:val="0"/>
              <w:widowControl w:val="0"/>
              <w:kinsoku/>
              <w:wordWrap/>
              <w:overflowPunct/>
              <w:topLinePunct w:val="0"/>
              <w:autoSpaceDE/>
              <w:autoSpaceDN/>
              <w:bidi w:val="0"/>
              <w:adjustRightInd/>
              <w:snapToGrid/>
              <w:spacing w:line="336" w:lineRule="auto"/>
              <w:ind w:left="0" w:firstLine="0" w:firstLineChars="0"/>
              <w:jc w:val="left"/>
              <w:textAlignment w:val="auto"/>
              <w:rPr>
                <w:rFonts w:hint="eastAsia" w:ascii="宋体" w:hAnsi="宋体" w:cs="宋体"/>
                <w:szCs w:val="21"/>
                <w:highlight w:val="none"/>
                <w:lang w:val="en-US" w:eastAsia="zh-CN"/>
              </w:rPr>
            </w:pPr>
            <w:r>
              <w:rPr>
                <w:rFonts w:hint="eastAsia" w:ascii="宋体" w:hAnsi="宋体" w:cs="宋体"/>
                <w:szCs w:val="21"/>
                <w:highlight w:val="none"/>
                <w:lang w:val="en-US" w:eastAsia="zh-CN"/>
              </w:rPr>
              <w:t>3、不可竞争费执行安徽省住房和城乡建设厅（建标[2021]42号）文件，按市区计取。</w:t>
            </w:r>
          </w:p>
          <w:p w14:paraId="47E78323">
            <w:pPr>
              <w:keepNext w:val="0"/>
              <w:keepLines w:val="0"/>
              <w:pageBreakBefore w:val="0"/>
              <w:widowControl w:val="0"/>
              <w:kinsoku/>
              <w:wordWrap/>
              <w:overflowPunct/>
              <w:topLinePunct w:val="0"/>
              <w:autoSpaceDE/>
              <w:autoSpaceDN/>
              <w:bidi w:val="0"/>
              <w:adjustRightInd/>
              <w:snapToGrid/>
              <w:spacing w:line="336" w:lineRule="auto"/>
              <w:ind w:left="0" w:firstLine="0" w:firstLineChars="0"/>
              <w:jc w:val="left"/>
              <w:textAlignment w:val="auto"/>
              <w:rPr>
                <w:rFonts w:hint="eastAsia" w:ascii="宋体" w:hAnsi="宋体" w:cs="宋体"/>
                <w:szCs w:val="21"/>
                <w:highlight w:val="none"/>
                <w:lang w:val="en-US" w:eastAsia="zh-CN"/>
              </w:rPr>
            </w:pPr>
            <w:r>
              <w:rPr>
                <w:rFonts w:hint="eastAsia" w:ascii="宋体" w:hAnsi="宋体" w:cs="宋体"/>
                <w:szCs w:val="21"/>
                <w:highlight w:val="none"/>
                <w:lang w:val="en-US" w:eastAsia="zh-CN"/>
              </w:rPr>
              <w:t>4、税金执行安徽省建设工程造价管理总站文件（造价[2019]7号）增值税9%计取。</w:t>
            </w:r>
          </w:p>
          <w:p w14:paraId="7C5F4CE9">
            <w:pPr>
              <w:keepNext w:val="0"/>
              <w:keepLines w:val="0"/>
              <w:pageBreakBefore w:val="0"/>
              <w:widowControl w:val="0"/>
              <w:kinsoku/>
              <w:wordWrap/>
              <w:overflowPunct/>
              <w:topLinePunct w:val="0"/>
              <w:autoSpaceDE/>
              <w:autoSpaceDN/>
              <w:bidi w:val="0"/>
              <w:adjustRightInd/>
              <w:snapToGrid/>
              <w:spacing w:line="336" w:lineRule="auto"/>
              <w:ind w:left="0" w:firstLine="0" w:firstLineChars="0"/>
              <w:jc w:val="left"/>
              <w:textAlignment w:val="auto"/>
              <w:rPr>
                <w:rFonts w:hint="eastAsia" w:ascii="宋体" w:hAnsi="宋体" w:cs="宋体"/>
                <w:szCs w:val="21"/>
                <w:highlight w:val="none"/>
                <w:lang w:val="en-US" w:eastAsia="zh-CN"/>
              </w:rPr>
            </w:pPr>
            <w:r>
              <w:rPr>
                <w:rFonts w:hint="eastAsia" w:ascii="宋体" w:hAnsi="宋体" w:cs="宋体"/>
                <w:szCs w:val="21"/>
                <w:highlight w:val="none"/>
                <w:lang w:val="en-US" w:eastAsia="zh-CN"/>
              </w:rPr>
              <w:t>5、人工费执行安徽省住房和城乡建设厅（建标[2021]46号）文件：按《铜陵市建设工程材料市场价</w:t>
            </w:r>
          </w:p>
          <w:p w14:paraId="4045FE3E">
            <w:pPr>
              <w:keepNext w:val="0"/>
              <w:keepLines w:val="0"/>
              <w:pageBreakBefore w:val="0"/>
              <w:widowControl w:val="0"/>
              <w:kinsoku/>
              <w:wordWrap/>
              <w:overflowPunct/>
              <w:topLinePunct w:val="0"/>
              <w:autoSpaceDE/>
              <w:autoSpaceDN/>
              <w:bidi w:val="0"/>
              <w:adjustRightInd/>
              <w:snapToGrid/>
              <w:spacing w:line="336" w:lineRule="auto"/>
              <w:ind w:left="0" w:firstLine="0" w:firstLineChars="0"/>
              <w:jc w:val="left"/>
              <w:textAlignment w:val="auto"/>
              <w:rPr>
                <w:rFonts w:hint="eastAsia" w:ascii="宋体" w:hAnsi="宋体" w:cs="宋体"/>
                <w:szCs w:val="21"/>
                <w:highlight w:val="none"/>
                <w:lang w:val="en-US" w:eastAsia="zh-CN"/>
              </w:rPr>
            </w:pPr>
            <w:r>
              <w:rPr>
                <w:rFonts w:hint="eastAsia" w:ascii="宋体" w:hAnsi="宋体" w:cs="宋体"/>
                <w:szCs w:val="21"/>
                <w:highlight w:val="none"/>
                <w:lang w:val="en-US" w:eastAsia="zh-CN"/>
              </w:rPr>
              <w:t>格》2026年第3期信息价157.78元/工日计价。</w:t>
            </w:r>
          </w:p>
          <w:p w14:paraId="5F795B1B">
            <w:pPr>
              <w:keepNext w:val="0"/>
              <w:keepLines w:val="0"/>
              <w:pageBreakBefore w:val="0"/>
              <w:widowControl w:val="0"/>
              <w:kinsoku/>
              <w:wordWrap/>
              <w:overflowPunct/>
              <w:topLinePunct w:val="0"/>
              <w:autoSpaceDE/>
              <w:autoSpaceDN/>
              <w:bidi w:val="0"/>
              <w:adjustRightInd/>
              <w:snapToGrid/>
              <w:spacing w:line="336" w:lineRule="auto"/>
              <w:ind w:left="0" w:firstLine="0" w:firstLineChars="0"/>
              <w:jc w:val="left"/>
              <w:textAlignment w:val="auto"/>
              <w:rPr>
                <w:rFonts w:hint="eastAsia" w:ascii="宋体" w:hAnsi="宋体" w:eastAsia="宋体" w:cs="宋体"/>
                <w:szCs w:val="21"/>
                <w:highlight w:val="none"/>
              </w:rPr>
            </w:pPr>
            <w:r>
              <w:rPr>
                <w:rFonts w:hint="eastAsia" w:ascii="宋体" w:hAnsi="宋体" w:eastAsia="宋体" w:cs="宋体"/>
                <w:szCs w:val="21"/>
                <w:highlight w:val="none"/>
              </w:rPr>
              <w:t>四、清单说明：</w:t>
            </w:r>
          </w:p>
          <w:p w14:paraId="5DBC3594">
            <w:pPr>
              <w:keepNext w:val="0"/>
              <w:keepLines w:val="0"/>
              <w:pageBreakBefore w:val="0"/>
              <w:widowControl w:val="0"/>
              <w:kinsoku/>
              <w:wordWrap/>
              <w:overflowPunct/>
              <w:topLinePunct w:val="0"/>
              <w:autoSpaceDE/>
              <w:autoSpaceDN/>
              <w:bidi w:val="0"/>
              <w:adjustRightInd/>
              <w:snapToGrid/>
              <w:spacing w:line="336" w:lineRule="auto"/>
              <w:ind w:left="0" w:firstLine="0" w:firstLineChars="0"/>
              <w:jc w:val="left"/>
              <w:textAlignment w:val="auto"/>
              <w:rPr>
                <w:rFonts w:hint="eastAsia" w:ascii="宋体" w:hAnsi="宋体" w:cs="宋体"/>
                <w:szCs w:val="21"/>
                <w:highlight w:val="none"/>
                <w:lang w:val="en-US" w:eastAsia="zh-CN"/>
              </w:rPr>
            </w:pPr>
            <w:r>
              <w:rPr>
                <w:rFonts w:hint="eastAsia" w:ascii="宋体" w:hAnsi="宋体" w:cs="宋体"/>
                <w:szCs w:val="21"/>
                <w:highlight w:val="none"/>
                <w:lang w:val="en-US" w:eastAsia="zh-CN"/>
              </w:rPr>
              <w:t>1、工程量清单列出的每个细目已包括涉及与该细目有关的全部工程内容，投标人应将工程量清单与招标文件、合同通用条款、专用条款以及技术规范一起对照阅读。</w:t>
            </w:r>
          </w:p>
          <w:p w14:paraId="50B43BB5">
            <w:pPr>
              <w:keepNext w:val="0"/>
              <w:keepLines w:val="0"/>
              <w:pageBreakBefore w:val="0"/>
              <w:widowControl w:val="0"/>
              <w:kinsoku/>
              <w:wordWrap/>
              <w:overflowPunct/>
              <w:topLinePunct w:val="0"/>
              <w:autoSpaceDE/>
              <w:autoSpaceDN/>
              <w:bidi w:val="0"/>
              <w:adjustRightInd/>
              <w:snapToGrid/>
              <w:spacing w:line="336" w:lineRule="auto"/>
              <w:ind w:left="0" w:firstLine="0" w:firstLineChars="0"/>
              <w:jc w:val="left"/>
              <w:textAlignment w:val="auto"/>
              <w:rPr>
                <w:rFonts w:hint="eastAsia" w:ascii="宋体" w:hAnsi="宋体" w:cs="宋体"/>
                <w:szCs w:val="21"/>
                <w:highlight w:val="none"/>
                <w:lang w:val="en-US" w:eastAsia="zh-CN"/>
              </w:rPr>
            </w:pPr>
            <w:r>
              <w:rPr>
                <w:rFonts w:hint="eastAsia" w:ascii="宋体" w:hAnsi="宋体" w:cs="宋体"/>
                <w:szCs w:val="21"/>
                <w:highlight w:val="none"/>
                <w:lang w:val="en-US" w:eastAsia="zh-CN"/>
              </w:rPr>
              <w:t>2、除非合同另有规定或清单项目特征另有描述外，工程量清单中每一项单价均应已包括完成相应该项目的工程内容所需的所有人工、机械设备、材料和其他伴随服务所发生的所有费用。</w:t>
            </w:r>
          </w:p>
          <w:p w14:paraId="0B89D414">
            <w:pPr>
              <w:keepNext w:val="0"/>
              <w:keepLines w:val="0"/>
              <w:pageBreakBefore w:val="0"/>
              <w:widowControl w:val="0"/>
              <w:kinsoku/>
              <w:wordWrap/>
              <w:overflowPunct/>
              <w:topLinePunct w:val="0"/>
              <w:autoSpaceDE/>
              <w:autoSpaceDN/>
              <w:bidi w:val="0"/>
              <w:adjustRightInd/>
              <w:snapToGrid/>
              <w:spacing w:line="336" w:lineRule="auto"/>
              <w:ind w:left="0" w:firstLine="0" w:firstLineChars="0"/>
              <w:jc w:val="left"/>
              <w:textAlignment w:val="auto"/>
              <w:rPr>
                <w:rFonts w:hint="eastAsia" w:ascii="宋体" w:hAnsi="宋体" w:cs="宋体"/>
                <w:szCs w:val="21"/>
                <w:highlight w:val="none"/>
                <w:lang w:val="en-US" w:eastAsia="zh-CN"/>
              </w:rPr>
            </w:pPr>
            <w:r>
              <w:rPr>
                <w:rFonts w:hint="eastAsia" w:ascii="宋体" w:hAnsi="宋体" w:cs="宋体"/>
                <w:szCs w:val="21"/>
                <w:highlight w:val="none"/>
                <w:lang w:val="en-US" w:eastAsia="zh-CN"/>
              </w:rPr>
              <w:t>3、投标人应填写工程量清单中所有工程细目的价格，凡技术规范中注明的工程内容，如在清单中未列项，均应视为包含在其它相关项目中。</w:t>
            </w:r>
          </w:p>
          <w:p w14:paraId="6C8856E0">
            <w:pPr>
              <w:keepNext w:val="0"/>
              <w:keepLines w:val="0"/>
              <w:pageBreakBefore w:val="0"/>
              <w:widowControl w:val="0"/>
              <w:kinsoku/>
              <w:wordWrap/>
              <w:overflowPunct/>
              <w:topLinePunct w:val="0"/>
              <w:autoSpaceDE/>
              <w:autoSpaceDN/>
              <w:bidi w:val="0"/>
              <w:adjustRightInd/>
              <w:snapToGrid/>
              <w:spacing w:line="336" w:lineRule="auto"/>
              <w:ind w:left="0" w:firstLine="0" w:firstLineChars="0"/>
              <w:jc w:val="left"/>
              <w:textAlignment w:val="auto"/>
              <w:rPr>
                <w:rFonts w:hint="eastAsia" w:ascii="宋体" w:hAnsi="宋体" w:cs="宋体"/>
                <w:szCs w:val="21"/>
                <w:highlight w:val="none"/>
                <w:lang w:val="en-US" w:eastAsia="zh-CN"/>
              </w:rPr>
            </w:pPr>
            <w:r>
              <w:rPr>
                <w:rFonts w:hint="eastAsia" w:ascii="宋体" w:hAnsi="宋体" w:cs="宋体"/>
                <w:szCs w:val="21"/>
                <w:highlight w:val="none"/>
                <w:lang w:val="en-US" w:eastAsia="zh-CN"/>
              </w:rPr>
              <w:t>4、清单描述不明确的，以相关施工验收规范、图集为准。</w:t>
            </w:r>
          </w:p>
          <w:p w14:paraId="00B547BD">
            <w:pPr>
              <w:keepNext w:val="0"/>
              <w:keepLines w:val="0"/>
              <w:pageBreakBefore w:val="0"/>
              <w:widowControl w:val="0"/>
              <w:kinsoku/>
              <w:wordWrap/>
              <w:overflowPunct/>
              <w:topLinePunct w:val="0"/>
              <w:autoSpaceDE/>
              <w:autoSpaceDN/>
              <w:bidi w:val="0"/>
              <w:adjustRightInd/>
              <w:snapToGrid/>
              <w:spacing w:line="336" w:lineRule="auto"/>
              <w:ind w:left="0" w:firstLine="0" w:firstLineChars="0"/>
              <w:jc w:val="left"/>
              <w:textAlignment w:val="auto"/>
              <w:rPr>
                <w:rFonts w:hint="eastAsia" w:ascii="宋体" w:hAnsi="宋体" w:cs="宋体"/>
                <w:szCs w:val="21"/>
                <w:highlight w:val="none"/>
                <w:lang w:val="en-US" w:eastAsia="zh-CN"/>
              </w:rPr>
            </w:pPr>
            <w:r>
              <w:rPr>
                <w:rFonts w:hint="eastAsia" w:ascii="宋体" w:hAnsi="宋体" w:cs="宋体"/>
                <w:szCs w:val="21"/>
                <w:highlight w:val="none"/>
                <w:lang w:val="en-US" w:eastAsia="zh-CN"/>
              </w:rPr>
              <w:t>5、投标人对工程量清单有任何疑问，应于招标文件规定的疑问提交截止日前提出，否则视为投标人认可该工程量清单已包括了招标范围的全部内容，结算时执行合同约定。</w:t>
            </w:r>
          </w:p>
          <w:p w14:paraId="532FAD16">
            <w:pPr>
              <w:keepNext w:val="0"/>
              <w:keepLines w:val="0"/>
              <w:pageBreakBefore w:val="0"/>
              <w:widowControl w:val="0"/>
              <w:kinsoku/>
              <w:wordWrap/>
              <w:overflowPunct/>
              <w:topLinePunct w:val="0"/>
              <w:autoSpaceDE/>
              <w:autoSpaceDN/>
              <w:bidi w:val="0"/>
              <w:adjustRightInd/>
              <w:snapToGrid/>
              <w:spacing w:line="336" w:lineRule="auto"/>
              <w:ind w:left="0" w:firstLine="0" w:firstLineChars="0"/>
              <w:jc w:val="left"/>
              <w:textAlignment w:val="auto"/>
              <w:rPr>
                <w:rFonts w:hint="eastAsia" w:ascii="宋体" w:hAnsi="宋体" w:cs="宋体"/>
                <w:szCs w:val="21"/>
                <w:highlight w:val="none"/>
                <w:lang w:val="en-US" w:eastAsia="zh-CN"/>
              </w:rPr>
            </w:pPr>
            <w:r>
              <w:rPr>
                <w:rFonts w:hint="eastAsia" w:ascii="宋体" w:hAnsi="宋体" w:cs="宋体"/>
                <w:szCs w:val="21"/>
                <w:highlight w:val="none"/>
                <w:lang w:val="en-US" w:eastAsia="zh-CN"/>
              </w:rPr>
              <w:t>五、其它说明：</w:t>
            </w:r>
          </w:p>
          <w:p w14:paraId="7CE991B3">
            <w:pPr>
              <w:keepNext w:val="0"/>
              <w:keepLines w:val="0"/>
              <w:pageBreakBefore w:val="0"/>
              <w:widowControl w:val="0"/>
              <w:kinsoku/>
              <w:wordWrap/>
              <w:overflowPunct/>
              <w:topLinePunct w:val="0"/>
              <w:autoSpaceDE/>
              <w:autoSpaceDN/>
              <w:bidi w:val="0"/>
              <w:adjustRightInd/>
              <w:snapToGrid/>
              <w:spacing w:line="336" w:lineRule="auto"/>
              <w:ind w:left="0" w:firstLine="0" w:firstLineChars="0"/>
              <w:jc w:val="left"/>
              <w:textAlignment w:val="auto"/>
              <w:rPr>
                <w:rFonts w:hint="default" w:ascii="宋体" w:hAnsi="宋体" w:cs="宋体"/>
                <w:szCs w:val="21"/>
                <w:highlight w:val="none"/>
                <w:lang w:val="en-US" w:eastAsia="zh-CN"/>
              </w:rPr>
            </w:pPr>
            <w:r>
              <w:rPr>
                <w:rFonts w:hint="eastAsia" w:ascii="宋体" w:hAnsi="宋体" w:cs="宋体"/>
                <w:szCs w:val="21"/>
                <w:highlight w:val="none"/>
                <w:lang w:val="en-US" w:eastAsia="zh-CN"/>
              </w:rPr>
              <w:t>1、工程量按建设单位要求量计入，做法按建设单位的要求计入。</w:t>
            </w:r>
          </w:p>
          <w:p w14:paraId="2FD80C8C">
            <w:pPr>
              <w:keepNext w:val="0"/>
              <w:keepLines w:val="0"/>
              <w:pageBreakBefore w:val="0"/>
              <w:widowControl w:val="0"/>
              <w:kinsoku/>
              <w:wordWrap/>
              <w:overflowPunct/>
              <w:topLinePunct w:val="0"/>
              <w:autoSpaceDE/>
              <w:autoSpaceDN/>
              <w:bidi w:val="0"/>
              <w:adjustRightInd/>
              <w:snapToGrid/>
              <w:spacing w:line="336" w:lineRule="auto"/>
              <w:ind w:left="0" w:firstLine="0" w:firstLineChars="0"/>
              <w:jc w:val="left"/>
              <w:textAlignment w:val="auto"/>
              <w:rPr>
                <w:rFonts w:hint="default" w:ascii="宋体" w:hAnsi="宋体" w:cs="宋体"/>
                <w:szCs w:val="21"/>
                <w:highlight w:val="none"/>
                <w:lang w:val="en-US" w:eastAsia="zh-CN"/>
              </w:rPr>
            </w:pPr>
            <w:r>
              <w:rPr>
                <w:rFonts w:hint="eastAsia" w:ascii="宋体" w:hAnsi="宋体" w:cs="宋体"/>
                <w:szCs w:val="21"/>
                <w:highlight w:val="none"/>
                <w:lang w:val="en-US" w:eastAsia="zh-CN"/>
              </w:rPr>
              <w:t>2、</w:t>
            </w:r>
            <w:r>
              <w:rPr>
                <w:rFonts w:hint="default" w:ascii="宋体" w:hAnsi="宋体" w:cs="宋体"/>
                <w:szCs w:val="21"/>
                <w:highlight w:val="none"/>
                <w:lang w:val="en-US" w:eastAsia="zh-CN"/>
              </w:rPr>
              <w:t>本工程无图纸，按清单特征描述及业主要求施工</w:t>
            </w:r>
            <w:r>
              <w:rPr>
                <w:rFonts w:hint="eastAsia" w:ascii="宋体" w:hAnsi="宋体" w:cs="宋体"/>
                <w:szCs w:val="21"/>
                <w:highlight w:val="none"/>
                <w:lang w:val="en-US" w:eastAsia="zh-CN"/>
              </w:rPr>
              <w:t>。</w:t>
            </w:r>
          </w:p>
          <w:p w14:paraId="2E36AB59">
            <w:pPr>
              <w:keepNext w:val="0"/>
              <w:keepLines w:val="0"/>
              <w:pageBreakBefore w:val="0"/>
              <w:widowControl w:val="0"/>
              <w:kinsoku/>
              <w:wordWrap/>
              <w:overflowPunct/>
              <w:topLinePunct w:val="0"/>
              <w:autoSpaceDE/>
              <w:autoSpaceDN/>
              <w:bidi w:val="0"/>
              <w:adjustRightInd/>
              <w:snapToGrid/>
              <w:spacing w:line="336" w:lineRule="auto"/>
              <w:ind w:left="0" w:firstLine="0" w:firstLineChars="0"/>
              <w:jc w:val="left"/>
              <w:textAlignment w:val="auto"/>
              <w:rPr>
                <w:rFonts w:hint="default" w:ascii="宋体" w:hAnsi="宋体" w:cs="宋体"/>
                <w:szCs w:val="21"/>
                <w:highlight w:val="none"/>
                <w:lang w:val="en-US" w:eastAsia="zh-CN"/>
              </w:rPr>
            </w:pPr>
            <w:r>
              <w:rPr>
                <w:rFonts w:hint="eastAsia" w:ascii="宋体" w:hAnsi="宋体" w:cs="宋体"/>
                <w:szCs w:val="21"/>
                <w:highlight w:val="none"/>
                <w:lang w:val="en-US" w:eastAsia="zh-CN"/>
              </w:rPr>
              <w:t>3、混凝土按商品混凝土计价。</w:t>
            </w:r>
          </w:p>
          <w:p w14:paraId="6839F744">
            <w:pPr>
              <w:keepNext w:val="0"/>
              <w:keepLines w:val="0"/>
              <w:pageBreakBefore w:val="0"/>
              <w:widowControl w:val="0"/>
              <w:numPr>
                <w:ilvl w:val="0"/>
                <w:numId w:val="0"/>
              </w:numPr>
              <w:kinsoku/>
              <w:wordWrap/>
              <w:overflowPunct/>
              <w:topLinePunct w:val="0"/>
              <w:autoSpaceDE/>
              <w:autoSpaceDN/>
              <w:bidi w:val="0"/>
              <w:adjustRightInd/>
              <w:snapToGrid/>
              <w:spacing w:line="336" w:lineRule="auto"/>
              <w:textAlignment w:val="auto"/>
              <w:rPr>
                <w:rFonts w:hint="eastAsia" w:ascii="宋体" w:hAnsi="宋体" w:cs="宋体"/>
                <w:szCs w:val="21"/>
                <w:highlight w:val="none"/>
                <w:lang w:val="en-US" w:eastAsia="zh-CN"/>
              </w:rPr>
            </w:pPr>
            <w:r>
              <w:rPr>
                <w:rFonts w:hint="eastAsia" w:ascii="宋体" w:hAnsi="宋体" w:cs="宋体"/>
                <w:szCs w:val="21"/>
                <w:highlight w:val="none"/>
                <w:lang w:val="en-US" w:eastAsia="zh-CN"/>
              </w:rPr>
              <w:t>4、砂浆按自拌砂浆计价。</w:t>
            </w:r>
          </w:p>
          <w:p w14:paraId="2C32B7B1">
            <w:pPr>
              <w:keepNext w:val="0"/>
              <w:keepLines w:val="0"/>
              <w:pageBreakBefore w:val="0"/>
              <w:widowControl w:val="0"/>
              <w:numPr>
                <w:ilvl w:val="0"/>
                <w:numId w:val="0"/>
              </w:numPr>
              <w:kinsoku/>
              <w:wordWrap/>
              <w:overflowPunct/>
              <w:topLinePunct w:val="0"/>
              <w:autoSpaceDE/>
              <w:autoSpaceDN/>
              <w:bidi w:val="0"/>
              <w:adjustRightInd/>
              <w:snapToGrid/>
              <w:spacing w:line="336" w:lineRule="auto"/>
              <w:textAlignment w:val="auto"/>
              <w:rPr>
                <w:rFonts w:hint="eastAsia" w:ascii="宋体" w:hAnsi="宋体" w:cs="宋体"/>
                <w:szCs w:val="21"/>
                <w:highlight w:val="none"/>
                <w:lang w:val="en-US" w:eastAsia="zh-CN"/>
              </w:rPr>
            </w:pPr>
            <w:r>
              <w:rPr>
                <w:rFonts w:hint="eastAsia" w:ascii="宋体" w:hAnsi="宋体" w:cs="宋体"/>
                <w:szCs w:val="21"/>
                <w:highlight w:val="none"/>
                <w:lang w:val="en-US" w:eastAsia="zh-CN"/>
              </w:rPr>
              <w:t>5、暂列金10000.00元、计税。</w:t>
            </w:r>
          </w:p>
        </w:tc>
      </w:tr>
    </w:tbl>
    <w:p w14:paraId="73EF25EE">
      <w:pPr>
        <w:rPr>
          <w:sz w:val="24"/>
          <w:szCs w:val="24"/>
        </w:rPr>
      </w:pPr>
    </w:p>
    <w:sectPr>
      <w:pgSz w:w="11906" w:h="16838"/>
      <w:pgMar w:top="1213" w:right="1286" w:bottom="1213" w:left="1800"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NjNGY3MGQzZWM3NTc1NWFjMTM5MDZkY2VhNGJkMWQifQ=="/>
  </w:docVars>
  <w:rsids>
    <w:rsidRoot w:val="2FAB3D5B"/>
    <w:rsid w:val="000039E2"/>
    <w:rsid w:val="00011246"/>
    <w:rsid w:val="000363BD"/>
    <w:rsid w:val="00051CDE"/>
    <w:rsid w:val="0009772B"/>
    <w:rsid w:val="000A66E4"/>
    <w:rsid w:val="000A7EE7"/>
    <w:rsid w:val="000B6251"/>
    <w:rsid w:val="000B6D41"/>
    <w:rsid w:val="000C1DC0"/>
    <w:rsid w:val="000C3BEC"/>
    <w:rsid w:val="000D28D4"/>
    <w:rsid w:val="000E25EB"/>
    <w:rsid w:val="000F3D00"/>
    <w:rsid w:val="00124B99"/>
    <w:rsid w:val="001269FE"/>
    <w:rsid w:val="00140C40"/>
    <w:rsid w:val="00141BA6"/>
    <w:rsid w:val="001472B9"/>
    <w:rsid w:val="001666BA"/>
    <w:rsid w:val="0019437D"/>
    <w:rsid w:val="001C5362"/>
    <w:rsid w:val="001C6FF1"/>
    <w:rsid w:val="001E189D"/>
    <w:rsid w:val="002026E3"/>
    <w:rsid w:val="00216FE7"/>
    <w:rsid w:val="00221910"/>
    <w:rsid w:val="00223042"/>
    <w:rsid w:val="002237F8"/>
    <w:rsid w:val="002465AA"/>
    <w:rsid w:val="00252793"/>
    <w:rsid w:val="00257B2F"/>
    <w:rsid w:val="00281695"/>
    <w:rsid w:val="00285F0F"/>
    <w:rsid w:val="002911AB"/>
    <w:rsid w:val="002914B7"/>
    <w:rsid w:val="002A3335"/>
    <w:rsid w:val="002B4D82"/>
    <w:rsid w:val="002B5AB9"/>
    <w:rsid w:val="002E3DB0"/>
    <w:rsid w:val="002E6EDC"/>
    <w:rsid w:val="00301273"/>
    <w:rsid w:val="00314375"/>
    <w:rsid w:val="00323142"/>
    <w:rsid w:val="00344792"/>
    <w:rsid w:val="003579C3"/>
    <w:rsid w:val="00383036"/>
    <w:rsid w:val="003C26EA"/>
    <w:rsid w:val="003D38A0"/>
    <w:rsid w:val="003E07BD"/>
    <w:rsid w:val="00416CEE"/>
    <w:rsid w:val="00421CDF"/>
    <w:rsid w:val="004339C2"/>
    <w:rsid w:val="0045377C"/>
    <w:rsid w:val="00453E64"/>
    <w:rsid w:val="00470208"/>
    <w:rsid w:val="00473F53"/>
    <w:rsid w:val="00474FC4"/>
    <w:rsid w:val="00484C93"/>
    <w:rsid w:val="004857BD"/>
    <w:rsid w:val="004901A1"/>
    <w:rsid w:val="004961C7"/>
    <w:rsid w:val="004D1A74"/>
    <w:rsid w:val="004E0B95"/>
    <w:rsid w:val="00503C30"/>
    <w:rsid w:val="00507063"/>
    <w:rsid w:val="005400B1"/>
    <w:rsid w:val="0056208C"/>
    <w:rsid w:val="00570933"/>
    <w:rsid w:val="0057108E"/>
    <w:rsid w:val="005733B4"/>
    <w:rsid w:val="0057341A"/>
    <w:rsid w:val="005872B2"/>
    <w:rsid w:val="00593118"/>
    <w:rsid w:val="005C4F47"/>
    <w:rsid w:val="005D00C0"/>
    <w:rsid w:val="005D249E"/>
    <w:rsid w:val="005F01F6"/>
    <w:rsid w:val="005F3D5E"/>
    <w:rsid w:val="005F65A8"/>
    <w:rsid w:val="00601FA6"/>
    <w:rsid w:val="00602883"/>
    <w:rsid w:val="00632149"/>
    <w:rsid w:val="00650FC2"/>
    <w:rsid w:val="006863B1"/>
    <w:rsid w:val="00694AB6"/>
    <w:rsid w:val="006C0B53"/>
    <w:rsid w:val="006D237E"/>
    <w:rsid w:val="006E269D"/>
    <w:rsid w:val="006F70F7"/>
    <w:rsid w:val="00714F6C"/>
    <w:rsid w:val="00721D18"/>
    <w:rsid w:val="00727294"/>
    <w:rsid w:val="00732D87"/>
    <w:rsid w:val="00762528"/>
    <w:rsid w:val="00770656"/>
    <w:rsid w:val="0077553F"/>
    <w:rsid w:val="007808D3"/>
    <w:rsid w:val="007814C2"/>
    <w:rsid w:val="007B6AD1"/>
    <w:rsid w:val="007B782C"/>
    <w:rsid w:val="007C7013"/>
    <w:rsid w:val="007C72CB"/>
    <w:rsid w:val="007D3E78"/>
    <w:rsid w:val="007E0E93"/>
    <w:rsid w:val="007E4185"/>
    <w:rsid w:val="007E4876"/>
    <w:rsid w:val="007E7018"/>
    <w:rsid w:val="007F4F69"/>
    <w:rsid w:val="007F5237"/>
    <w:rsid w:val="008179B3"/>
    <w:rsid w:val="008342E6"/>
    <w:rsid w:val="0087388A"/>
    <w:rsid w:val="00874897"/>
    <w:rsid w:val="0088649C"/>
    <w:rsid w:val="00891538"/>
    <w:rsid w:val="008C1130"/>
    <w:rsid w:val="008D1726"/>
    <w:rsid w:val="00926316"/>
    <w:rsid w:val="009366B0"/>
    <w:rsid w:val="00936EC9"/>
    <w:rsid w:val="009415E8"/>
    <w:rsid w:val="00944842"/>
    <w:rsid w:val="00981582"/>
    <w:rsid w:val="00987FE6"/>
    <w:rsid w:val="00994D79"/>
    <w:rsid w:val="009A6B1A"/>
    <w:rsid w:val="009B54F7"/>
    <w:rsid w:val="009B75C5"/>
    <w:rsid w:val="009C532F"/>
    <w:rsid w:val="009D0056"/>
    <w:rsid w:val="009D1B57"/>
    <w:rsid w:val="009D273E"/>
    <w:rsid w:val="009E6967"/>
    <w:rsid w:val="009F5F97"/>
    <w:rsid w:val="00A02971"/>
    <w:rsid w:val="00A04D58"/>
    <w:rsid w:val="00A069C2"/>
    <w:rsid w:val="00A10688"/>
    <w:rsid w:val="00A5774F"/>
    <w:rsid w:val="00A70FD2"/>
    <w:rsid w:val="00A876C1"/>
    <w:rsid w:val="00AC26E8"/>
    <w:rsid w:val="00AC7318"/>
    <w:rsid w:val="00AD101A"/>
    <w:rsid w:val="00AE258E"/>
    <w:rsid w:val="00AE7FE2"/>
    <w:rsid w:val="00B0190A"/>
    <w:rsid w:val="00B22C3E"/>
    <w:rsid w:val="00B31E82"/>
    <w:rsid w:val="00B35EF4"/>
    <w:rsid w:val="00B41403"/>
    <w:rsid w:val="00B542B9"/>
    <w:rsid w:val="00B86951"/>
    <w:rsid w:val="00BB217A"/>
    <w:rsid w:val="00BD4D0F"/>
    <w:rsid w:val="00BF43E8"/>
    <w:rsid w:val="00C06032"/>
    <w:rsid w:val="00C23FA0"/>
    <w:rsid w:val="00C41A8E"/>
    <w:rsid w:val="00C52009"/>
    <w:rsid w:val="00C52ED8"/>
    <w:rsid w:val="00C55E1C"/>
    <w:rsid w:val="00C8042C"/>
    <w:rsid w:val="00C8464A"/>
    <w:rsid w:val="00C92FC9"/>
    <w:rsid w:val="00CB04CB"/>
    <w:rsid w:val="00CB5A55"/>
    <w:rsid w:val="00CD1261"/>
    <w:rsid w:val="00CD65C4"/>
    <w:rsid w:val="00CF2D70"/>
    <w:rsid w:val="00D1154B"/>
    <w:rsid w:val="00D166BE"/>
    <w:rsid w:val="00D16F94"/>
    <w:rsid w:val="00D25C00"/>
    <w:rsid w:val="00D52E78"/>
    <w:rsid w:val="00D53AD2"/>
    <w:rsid w:val="00D84825"/>
    <w:rsid w:val="00DD2DEF"/>
    <w:rsid w:val="00DD3080"/>
    <w:rsid w:val="00DD42EF"/>
    <w:rsid w:val="00E0335D"/>
    <w:rsid w:val="00E0554C"/>
    <w:rsid w:val="00E163E2"/>
    <w:rsid w:val="00E20342"/>
    <w:rsid w:val="00E366CB"/>
    <w:rsid w:val="00E4211C"/>
    <w:rsid w:val="00E4264F"/>
    <w:rsid w:val="00E531CD"/>
    <w:rsid w:val="00EB3209"/>
    <w:rsid w:val="00EE25B2"/>
    <w:rsid w:val="00EE7BC3"/>
    <w:rsid w:val="00F05DBC"/>
    <w:rsid w:val="00F30D54"/>
    <w:rsid w:val="00F31103"/>
    <w:rsid w:val="00F40598"/>
    <w:rsid w:val="00F47507"/>
    <w:rsid w:val="00F52604"/>
    <w:rsid w:val="00F8178D"/>
    <w:rsid w:val="00F96F5A"/>
    <w:rsid w:val="00FB1102"/>
    <w:rsid w:val="00FC6CCD"/>
    <w:rsid w:val="00FD24C0"/>
    <w:rsid w:val="00FE7313"/>
    <w:rsid w:val="00FF2F23"/>
    <w:rsid w:val="018378D3"/>
    <w:rsid w:val="03AE1BC9"/>
    <w:rsid w:val="05C33C1A"/>
    <w:rsid w:val="05D05DE4"/>
    <w:rsid w:val="06B27650"/>
    <w:rsid w:val="06EC26B9"/>
    <w:rsid w:val="0867121C"/>
    <w:rsid w:val="08C427A2"/>
    <w:rsid w:val="09295965"/>
    <w:rsid w:val="09BC429C"/>
    <w:rsid w:val="0ACB5CBA"/>
    <w:rsid w:val="0CE340E1"/>
    <w:rsid w:val="0D3A4648"/>
    <w:rsid w:val="0DD2299F"/>
    <w:rsid w:val="0E5131A4"/>
    <w:rsid w:val="0EC675F8"/>
    <w:rsid w:val="10512560"/>
    <w:rsid w:val="113E49EF"/>
    <w:rsid w:val="12642FAD"/>
    <w:rsid w:val="13290FD8"/>
    <w:rsid w:val="13934ABD"/>
    <w:rsid w:val="13A42D25"/>
    <w:rsid w:val="15933010"/>
    <w:rsid w:val="15DF7968"/>
    <w:rsid w:val="17377927"/>
    <w:rsid w:val="19423D63"/>
    <w:rsid w:val="19E00C68"/>
    <w:rsid w:val="1B5D0A7A"/>
    <w:rsid w:val="1B7F4CB9"/>
    <w:rsid w:val="1CE7615B"/>
    <w:rsid w:val="1D267124"/>
    <w:rsid w:val="1DEA59AB"/>
    <w:rsid w:val="1DEB5DD0"/>
    <w:rsid w:val="1E1A14B6"/>
    <w:rsid w:val="1E4856A5"/>
    <w:rsid w:val="1FE61B66"/>
    <w:rsid w:val="204A1B29"/>
    <w:rsid w:val="20616AB6"/>
    <w:rsid w:val="219215CC"/>
    <w:rsid w:val="22960B67"/>
    <w:rsid w:val="250764FF"/>
    <w:rsid w:val="265F6EB3"/>
    <w:rsid w:val="269E6354"/>
    <w:rsid w:val="27342D4A"/>
    <w:rsid w:val="286F3376"/>
    <w:rsid w:val="28A84426"/>
    <w:rsid w:val="295A2BB1"/>
    <w:rsid w:val="29C53EDF"/>
    <w:rsid w:val="2A782487"/>
    <w:rsid w:val="2A865A78"/>
    <w:rsid w:val="2A9E31D8"/>
    <w:rsid w:val="2D902B3A"/>
    <w:rsid w:val="2DBC0EAB"/>
    <w:rsid w:val="2F441587"/>
    <w:rsid w:val="2FAB3D5B"/>
    <w:rsid w:val="35467692"/>
    <w:rsid w:val="382601A2"/>
    <w:rsid w:val="38B448E4"/>
    <w:rsid w:val="3A273234"/>
    <w:rsid w:val="3A687850"/>
    <w:rsid w:val="3A6E18D7"/>
    <w:rsid w:val="3AA130C3"/>
    <w:rsid w:val="3AF15A98"/>
    <w:rsid w:val="3CF67A7D"/>
    <w:rsid w:val="3EA23CD5"/>
    <w:rsid w:val="3EC96CD6"/>
    <w:rsid w:val="40F94EE1"/>
    <w:rsid w:val="419F7E07"/>
    <w:rsid w:val="42D37E70"/>
    <w:rsid w:val="432A4474"/>
    <w:rsid w:val="441E1165"/>
    <w:rsid w:val="44727163"/>
    <w:rsid w:val="46D54D78"/>
    <w:rsid w:val="48F92739"/>
    <w:rsid w:val="49B323BC"/>
    <w:rsid w:val="4BD42B0B"/>
    <w:rsid w:val="4C9A74F2"/>
    <w:rsid w:val="4CF56C20"/>
    <w:rsid w:val="4DD47E43"/>
    <w:rsid w:val="4E773DC7"/>
    <w:rsid w:val="4F432615"/>
    <w:rsid w:val="501C6D60"/>
    <w:rsid w:val="519D636A"/>
    <w:rsid w:val="51B62952"/>
    <w:rsid w:val="534B7113"/>
    <w:rsid w:val="541F7802"/>
    <w:rsid w:val="54455CD8"/>
    <w:rsid w:val="550534B6"/>
    <w:rsid w:val="55903ABD"/>
    <w:rsid w:val="581B3CFC"/>
    <w:rsid w:val="59281FF4"/>
    <w:rsid w:val="592C1340"/>
    <w:rsid w:val="59BD6268"/>
    <w:rsid w:val="5B400079"/>
    <w:rsid w:val="5DF2224F"/>
    <w:rsid w:val="5E156A5A"/>
    <w:rsid w:val="5F4802B7"/>
    <w:rsid w:val="5F7C1524"/>
    <w:rsid w:val="60B42F40"/>
    <w:rsid w:val="61812FFA"/>
    <w:rsid w:val="644E687F"/>
    <w:rsid w:val="64C42DBE"/>
    <w:rsid w:val="658253BB"/>
    <w:rsid w:val="66323848"/>
    <w:rsid w:val="671464E6"/>
    <w:rsid w:val="67F41781"/>
    <w:rsid w:val="68D67ECC"/>
    <w:rsid w:val="692A1499"/>
    <w:rsid w:val="69696F97"/>
    <w:rsid w:val="6A676EE3"/>
    <w:rsid w:val="6A792B96"/>
    <w:rsid w:val="6AA41A00"/>
    <w:rsid w:val="6B460DE0"/>
    <w:rsid w:val="6B887F55"/>
    <w:rsid w:val="6CE95D1F"/>
    <w:rsid w:val="6EAE28BD"/>
    <w:rsid w:val="6FB81908"/>
    <w:rsid w:val="70AA5900"/>
    <w:rsid w:val="716945F5"/>
    <w:rsid w:val="71A22951"/>
    <w:rsid w:val="72FF004B"/>
    <w:rsid w:val="73037F0B"/>
    <w:rsid w:val="75B7477E"/>
    <w:rsid w:val="766845A2"/>
    <w:rsid w:val="78A478A5"/>
    <w:rsid w:val="7A8560DB"/>
    <w:rsid w:val="7AF91823"/>
    <w:rsid w:val="7C89636D"/>
    <w:rsid w:val="7CD378B9"/>
    <w:rsid w:val="7D2B5649"/>
    <w:rsid w:val="7D840846"/>
    <w:rsid w:val="7EF94E20"/>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qFormat="1" w:unhideWhenUsed="0" w:uiPriority="99" w:semiHidden="0"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2"/>
      <w:lang w:val="en-US" w:eastAsia="zh-CN" w:bidi="ar-SA"/>
    </w:rPr>
  </w:style>
  <w:style w:type="character" w:default="1" w:styleId="9">
    <w:name w:val="Default Paragraph Font"/>
    <w:autoRedefine/>
    <w:semiHidden/>
    <w:unhideWhenUsed/>
    <w:qFormat/>
    <w:uiPriority w:val="1"/>
  </w:style>
  <w:style w:type="table" w:default="1" w:styleId="7">
    <w:name w:val="Normal Table"/>
    <w:autoRedefine/>
    <w:semiHidden/>
    <w:unhideWhenUsed/>
    <w:qFormat/>
    <w:uiPriority w:val="99"/>
    <w:tblPr>
      <w:tblCellMar>
        <w:top w:w="0" w:type="dxa"/>
        <w:left w:w="108" w:type="dxa"/>
        <w:bottom w:w="0" w:type="dxa"/>
        <w:right w:w="108" w:type="dxa"/>
      </w:tblCellMar>
    </w:tblPr>
  </w:style>
  <w:style w:type="paragraph" w:styleId="2">
    <w:name w:val="Normal Indent"/>
    <w:basedOn w:val="1"/>
    <w:autoRedefine/>
    <w:qFormat/>
    <w:uiPriority w:val="99"/>
    <w:pPr>
      <w:ind w:firstLine="420" w:firstLineChars="200"/>
    </w:pPr>
    <w:rPr>
      <w:rFonts w:ascii="Times New Roman" w:hAnsi="Times New Roman"/>
      <w:szCs w:val="24"/>
    </w:rPr>
  </w:style>
  <w:style w:type="paragraph" w:styleId="3">
    <w:name w:val="Balloon Text"/>
    <w:basedOn w:val="1"/>
    <w:link w:val="10"/>
    <w:autoRedefine/>
    <w:semiHidden/>
    <w:qFormat/>
    <w:uiPriority w:val="99"/>
    <w:rPr>
      <w:sz w:val="18"/>
      <w:szCs w:val="18"/>
    </w:rPr>
  </w:style>
  <w:style w:type="paragraph" w:styleId="4">
    <w:name w:val="footer"/>
    <w:basedOn w:val="1"/>
    <w:link w:val="11"/>
    <w:autoRedefine/>
    <w:qFormat/>
    <w:uiPriority w:val="99"/>
    <w:pPr>
      <w:tabs>
        <w:tab w:val="center" w:pos="4153"/>
        <w:tab w:val="right" w:pos="8306"/>
      </w:tabs>
      <w:snapToGrid w:val="0"/>
      <w:jc w:val="left"/>
    </w:pPr>
    <w:rPr>
      <w:sz w:val="18"/>
      <w:szCs w:val="18"/>
    </w:rPr>
  </w:style>
  <w:style w:type="paragraph" w:styleId="5">
    <w:name w:val="header"/>
    <w:basedOn w:val="1"/>
    <w:link w:val="12"/>
    <w:autoRedefine/>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autoRedefine/>
    <w:semiHidden/>
    <w:qFormat/>
    <w:uiPriority w:val="99"/>
    <w:pPr>
      <w:spacing w:before="100" w:beforeAutospacing="1" w:after="100" w:afterAutospacing="1"/>
      <w:jc w:val="left"/>
    </w:pPr>
    <w:rPr>
      <w:kern w:val="0"/>
      <w:sz w:val="24"/>
    </w:rPr>
  </w:style>
  <w:style w:type="table" w:styleId="8">
    <w:name w:val="Table Grid"/>
    <w:basedOn w:val="7"/>
    <w:autoRedefine/>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
    <w:name w:val="批注框文本 字符"/>
    <w:basedOn w:val="9"/>
    <w:link w:val="3"/>
    <w:autoRedefine/>
    <w:semiHidden/>
    <w:qFormat/>
    <w:locked/>
    <w:uiPriority w:val="99"/>
    <w:rPr>
      <w:rFonts w:cs="Times New Roman"/>
      <w:kern w:val="2"/>
      <w:sz w:val="18"/>
      <w:szCs w:val="18"/>
    </w:rPr>
  </w:style>
  <w:style w:type="character" w:customStyle="1" w:styleId="11">
    <w:name w:val="页脚 字符"/>
    <w:basedOn w:val="9"/>
    <w:link w:val="4"/>
    <w:autoRedefine/>
    <w:qFormat/>
    <w:locked/>
    <w:uiPriority w:val="99"/>
    <w:rPr>
      <w:rFonts w:cs="Times New Roman"/>
      <w:kern w:val="2"/>
      <w:sz w:val="18"/>
      <w:szCs w:val="18"/>
    </w:rPr>
  </w:style>
  <w:style w:type="character" w:customStyle="1" w:styleId="12">
    <w:name w:val="页眉 字符"/>
    <w:basedOn w:val="9"/>
    <w:link w:val="5"/>
    <w:autoRedefine/>
    <w:qFormat/>
    <w:locked/>
    <w:uiPriority w:val="99"/>
    <w:rPr>
      <w:rFonts w:cs="Times New Roman"/>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china</Company>
  <Pages>1</Pages>
  <Words>723</Words>
  <Characters>763</Characters>
  <Lines>6</Lines>
  <Paragraphs>1</Paragraphs>
  <TotalTime>0</TotalTime>
  <ScaleCrop>false</ScaleCrop>
  <LinksUpToDate>false</LinksUpToDate>
  <CharactersWithSpaces>763</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2019-12-10T09:03:00Z</dcterms:created>
  <dc:creator>Administrator</dc:creator>
  <cp:lastModifiedBy>胡加和</cp:lastModifiedBy>
  <cp:lastPrinted>2024-05-09T08:27:00Z</cp:lastPrinted>
  <dcterms:modified xsi:type="dcterms:W3CDTF">2026-06-16T03:13:43Z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568B69223DE94E5F9728EAA686A57602</vt:lpwstr>
  </property>
  <property fmtid="{D5CDD505-2E9C-101B-9397-08002B2CF9AE}" pid="4" name="KSOTemplateDocerSaveRecord">
    <vt:lpwstr>eyJoZGlkIjoiZTNjNGY3MGQzZWM3NTc1NWFjMTM5MDZkY2VhNGJkMWQiLCJ1c2VySWQiOiIxMzc4NjM2ODA5In0=</vt:lpwstr>
  </property>
</Properties>
</file>